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192" w:rsidRDefault="00A63192">
      <w:pPr>
        <w:rPr>
          <w:rFonts w:ascii="Trebuchet MS" w:hAnsi="Trebuchet MS"/>
          <w:sz w:val="28"/>
          <w:szCs w:val="28"/>
        </w:rPr>
      </w:pPr>
    </w:p>
    <w:p w:rsidR="00AE2BF7" w:rsidRDefault="00664993">
      <w:pPr>
        <w:rPr>
          <w:rFonts w:ascii="Trebuchet MS" w:hAnsi="Trebuchet MS"/>
          <w:sz w:val="28"/>
          <w:szCs w:val="28"/>
        </w:rPr>
      </w:pPr>
      <w:r w:rsidRPr="00664993">
        <w:rPr>
          <w:rFonts w:ascii="Trebuchet MS" w:hAnsi="Trebuchet MS"/>
          <w:sz w:val="28"/>
          <w:szCs w:val="28"/>
        </w:rPr>
        <w:t xml:space="preserve">PRIPREMA PACIJENTA ZA VIŠEDNEVNO INTEZIVNO VIDEO EEG MONITORIRANJE  </w:t>
      </w:r>
    </w:p>
    <w:p w:rsidR="00664993" w:rsidRDefault="00664993">
      <w:pPr>
        <w:rPr>
          <w:rFonts w:ascii="Trebuchet MS" w:hAnsi="Trebuchet MS"/>
          <w:sz w:val="24"/>
          <w:szCs w:val="24"/>
        </w:rPr>
      </w:pPr>
      <w:r>
        <w:rPr>
          <w:rFonts w:ascii="Trebuchet MS" w:hAnsi="Trebuchet MS"/>
          <w:sz w:val="24"/>
          <w:szCs w:val="24"/>
        </w:rPr>
        <w:t xml:space="preserve">Pacijenti upućeni na pretragu dužni su na Kliniku dostaviti nalaz neurologa koji ih je uputio na višednevni intezivni video EEG monitoring te dva kontakt broja. Pacijent se poziva od strane medicinske sestre/ tehničara za dogovor oko termina. Prethodno liječnik neurolog, koji uputi pacijenta, istog upozna s pretragom. Pri telefonskom razgovoru medicinska sestra/ tehničar pacijentu objasni detaljnu pripremu za pretragu i upute kako postupati i što je sve potrebno donijeti, te istu pošalju pismenim putem. </w:t>
      </w:r>
    </w:p>
    <w:p w:rsidR="00664993" w:rsidRPr="000D5655" w:rsidRDefault="00664993">
      <w:pPr>
        <w:rPr>
          <w:rFonts w:ascii="Trebuchet MS" w:hAnsi="Trebuchet MS"/>
          <w:b/>
          <w:sz w:val="24"/>
          <w:szCs w:val="24"/>
        </w:rPr>
      </w:pPr>
      <w:r w:rsidRPr="000D5655">
        <w:rPr>
          <w:rFonts w:ascii="Trebuchet MS" w:hAnsi="Trebuchet MS"/>
          <w:b/>
          <w:sz w:val="24"/>
          <w:szCs w:val="24"/>
        </w:rPr>
        <w:t xml:space="preserve">Priprema za pretragu obuhvaća: </w:t>
      </w:r>
    </w:p>
    <w:p w:rsidR="00664993" w:rsidRDefault="00664993" w:rsidP="00664993">
      <w:pPr>
        <w:pStyle w:val="Odlomakpopisa"/>
        <w:numPr>
          <w:ilvl w:val="0"/>
          <w:numId w:val="1"/>
        </w:numPr>
        <w:rPr>
          <w:rFonts w:ascii="Trebuchet MS" w:hAnsi="Trebuchet MS"/>
          <w:sz w:val="24"/>
          <w:szCs w:val="24"/>
        </w:rPr>
      </w:pPr>
      <w:r>
        <w:rPr>
          <w:rFonts w:ascii="Trebuchet MS" w:hAnsi="Trebuchet MS"/>
          <w:sz w:val="24"/>
          <w:szCs w:val="24"/>
        </w:rPr>
        <w:t>Detaljno pranje kose dan prije dolaska na pretragu, isključivo šamponom ( na kosu se prije pranja, poslije pranja ne smije ništa stavljati, niti u toku pranja se ne smije koristiti ništa osim šampona)</w:t>
      </w:r>
    </w:p>
    <w:p w:rsidR="00664993" w:rsidRDefault="00664993" w:rsidP="00664993">
      <w:pPr>
        <w:pStyle w:val="Odlomakpopisa"/>
        <w:numPr>
          <w:ilvl w:val="0"/>
          <w:numId w:val="1"/>
        </w:numPr>
        <w:rPr>
          <w:rFonts w:ascii="Trebuchet MS" w:hAnsi="Trebuchet MS"/>
          <w:sz w:val="24"/>
          <w:szCs w:val="24"/>
        </w:rPr>
      </w:pPr>
      <w:r>
        <w:rPr>
          <w:rFonts w:ascii="Trebuchet MS" w:hAnsi="Trebuchet MS"/>
          <w:sz w:val="24"/>
          <w:szCs w:val="24"/>
        </w:rPr>
        <w:t>Ujutro prije dolaska pacijent ne smije popiti terapiju (po dolasku pacijentu se rade krvne pretrage koje uključuju koncentraciju lijeka u krvi)</w:t>
      </w:r>
    </w:p>
    <w:p w:rsidR="00664993" w:rsidRPr="000D5655" w:rsidRDefault="00664993" w:rsidP="00664993">
      <w:pPr>
        <w:rPr>
          <w:rFonts w:ascii="Trebuchet MS" w:hAnsi="Trebuchet MS"/>
          <w:b/>
          <w:sz w:val="24"/>
          <w:szCs w:val="24"/>
        </w:rPr>
      </w:pPr>
      <w:r w:rsidRPr="000D5655">
        <w:rPr>
          <w:rFonts w:ascii="Trebuchet MS" w:hAnsi="Trebuchet MS"/>
          <w:b/>
          <w:sz w:val="24"/>
          <w:szCs w:val="24"/>
        </w:rPr>
        <w:t xml:space="preserve">Na dan dolaska na pretragu potrebno je dostaviti: </w:t>
      </w:r>
    </w:p>
    <w:p w:rsidR="00664993" w:rsidRDefault="00664993" w:rsidP="00664993">
      <w:pPr>
        <w:pStyle w:val="Odlomakpopisa"/>
        <w:numPr>
          <w:ilvl w:val="0"/>
          <w:numId w:val="1"/>
        </w:numPr>
        <w:rPr>
          <w:rFonts w:ascii="Trebuchet MS" w:hAnsi="Trebuchet MS"/>
          <w:sz w:val="24"/>
          <w:szCs w:val="24"/>
        </w:rPr>
      </w:pPr>
      <w:r>
        <w:rPr>
          <w:rFonts w:ascii="Trebuchet MS" w:hAnsi="Trebuchet MS"/>
          <w:sz w:val="24"/>
          <w:szCs w:val="24"/>
        </w:rPr>
        <w:t>Uputnicu za hospitalizaciju na Klinici za neurologiju od strane liječnika opće prakse</w:t>
      </w:r>
    </w:p>
    <w:p w:rsidR="00664993" w:rsidRDefault="00664993" w:rsidP="00664993">
      <w:pPr>
        <w:pStyle w:val="Odlomakpopisa"/>
        <w:numPr>
          <w:ilvl w:val="0"/>
          <w:numId w:val="1"/>
        </w:numPr>
        <w:rPr>
          <w:rFonts w:ascii="Trebuchet MS" w:hAnsi="Trebuchet MS"/>
          <w:sz w:val="24"/>
          <w:szCs w:val="24"/>
        </w:rPr>
      </w:pPr>
      <w:r>
        <w:rPr>
          <w:rFonts w:ascii="Trebuchet MS" w:hAnsi="Trebuchet MS"/>
          <w:sz w:val="24"/>
          <w:szCs w:val="24"/>
        </w:rPr>
        <w:t>Osobnu i zdravstvenu iskaznicu (potrebno za prijavu na odjel)</w:t>
      </w:r>
    </w:p>
    <w:p w:rsidR="00664993" w:rsidRDefault="00664993" w:rsidP="00664993">
      <w:pPr>
        <w:pStyle w:val="Odlomakpopisa"/>
        <w:numPr>
          <w:ilvl w:val="0"/>
          <w:numId w:val="1"/>
        </w:numPr>
        <w:rPr>
          <w:rFonts w:ascii="Trebuchet MS" w:hAnsi="Trebuchet MS"/>
          <w:sz w:val="24"/>
          <w:szCs w:val="24"/>
        </w:rPr>
      </w:pPr>
      <w:r>
        <w:rPr>
          <w:rFonts w:ascii="Trebuchet MS" w:hAnsi="Trebuchet MS"/>
          <w:sz w:val="24"/>
          <w:szCs w:val="24"/>
        </w:rPr>
        <w:t xml:space="preserve">Sve stare nalaze koje pacijent posjeduje od pedijatrijske dobi </w:t>
      </w:r>
    </w:p>
    <w:p w:rsidR="00664993" w:rsidRDefault="00664993" w:rsidP="00664993">
      <w:pPr>
        <w:pStyle w:val="Odlomakpopisa"/>
        <w:numPr>
          <w:ilvl w:val="0"/>
          <w:numId w:val="1"/>
        </w:numPr>
        <w:rPr>
          <w:rFonts w:ascii="Trebuchet MS" w:hAnsi="Trebuchet MS"/>
          <w:sz w:val="24"/>
          <w:szCs w:val="24"/>
        </w:rPr>
      </w:pPr>
      <w:r>
        <w:rPr>
          <w:rFonts w:ascii="Trebuchet MS" w:hAnsi="Trebuchet MS"/>
          <w:sz w:val="24"/>
          <w:szCs w:val="24"/>
        </w:rPr>
        <w:t>Svu terapiju koju koristi u originalnom pakovanju (da se vidi točno naznačen naziv lijeka, doza, te rok trajanja)</w:t>
      </w:r>
    </w:p>
    <w:p w:rsidR="00664993" w:rsidRDefault="00664993" w:rsidP="00664993">
      <w:pPr>
        <w:rPr>
          <w:rFonts w:ascii="Trebuchet MS" w:hAnsi="Trebuchet MS"/>
          <w:sz w:val="24"/>
          <w:szCs w:val="24"/>
        </w:rPr>
      </w:pPr>
      <w:r w:rsidRPr="000D5655">
        <w:rPr>
          <w:rFonts w:ascii="Trebuchet MS" w:hAnsi="Trebuchet MS"/>
          <w:b/>
          <w:sz w:val="24"/>
          <w:szCs w:val="24"/>
        </w:rPr>
        <w:t>Savjet:</w:t>
      </w:r>
      <w:r>
        <w:rPr>
          <w:rFonts w:ascii="Trebuchet MS" w:hAnsi="Trebuchet MS"/>
          <w:sz w:val="24"/>
          <w:szCs w:val="24"/>
        </w:rPr>
        <w:t xml:space="preserve"> ne nosite veću količina novca, nakit i ostale vrijedne stvari</w:t>
      </w:r>
      <w:r w:rsidR="00E63EF7">
        <w:rPr>
          <w:rFonts w:ascii="Trebuchet MS" w:hAnsi="Trebuchet MS"/>
          <w:sz w:val="24"/>
          <w:szCs w:val="24"/>
        </w:rPr>
        <w:t xml:space="preserve">. Dozvoljeno je koristiti mobitel, laptop, te čitati, pisati i slično. </w:t>
      </w:r>
    </w:p>
    <w:p w:rsidR="00E63EF7" w:rsidRDefault="00E63EF7" w:rsidP="00664993">
      <w:pPr>
        <w:rPr>
          <w:rFonts w:ascii="Trebuchet MS" w:hAnsi="Trebuchet MS"/>
          <w:sz w:val="24"/>
          <w:szCs w:val="24"/>
        </w:rPr>
      </w:pPr>
      <w:r>
        <w:rPr>
          <w:rFonts w:ascii="Trebuchet MS" w:hAnsi="Trebuchet MS"/>
          <w:sz w:val="24"/>
          <w:szCs w:val="24"/>
        </w:rPr>
        <w:t>Po dolasku pacijentu se izmjeri RR, TT, uradi EKG i krvne pretrage, te plasira intravenska kanila. S pacijentom medicinska sestra/tehničar obavi informativni razgovor, odnosno detaljno mu se objasni korist, svrha i rizici pretrage video EEG monitoringa. Obrazac po kojemu se pacijentu objašnjava naziva se Informirani pristanak, isti obraza</w:t>
      </w:r>
      <w:r w:rsidR="00721395">
        <w:rPr>
          <w:rFonts w:ascii="Trebuchet MS" w:hAnsi="Trebuchet MS"/>
          <w:sz w:val="24"/>
          <w:szCs w:val="24"/>
        </w:rPr>
        <w:t>c pacijent potpiše kao suglasnost</w:t>
      </w:r>
      <w:r>
        <w:rPr>
          <w:rFonts w:ascii="Trebuchet MS" w:hAnsi="Trebuchet MS"/>
          <w:sz w:val="24"/>
          <w:szCs w:val="24"/>
        </w:rPr>
        <w:t xml:space="preserve"> da je pristao na pretragu. </w:t>
      </w:r>
      <w:r w:rsidR="00721395">
        <w:rPr>
          <w:rFonts w:ascii="Trebuchet MS" w:hAnsi="Trebuchet MS"/>
          <w:sz w:val="24"/>
          <w:szCs w:val="24"/>
        </w:rPr>
        <w:t xml:space="preserve">Također, pacijent potpiše i Informirani pristanak o suglasnosti za korištenje snimljenih video EEG podataka. U slučaju maloljetnosti pacijenta (iznimne situacije), te nemogućnosti pacijenta da razumije upute i objašnjenja (kod osoba s intelektualnom onesposobljenošću), razgovor o Informiranom pristanku se obavlja s roditeljem ili skrbnikom te oni isti potpisuju. </w:t>
      </w:r>
    </w:p>
    <w:p w:rsidR="00A63192" w:rsidRDefault="00A63192" w:rsidP="00664993">
      <w:pPr>
        <w:rPr>
          <w:rFonts w:ascii="Trebuchet MS" w:hAnsi="Trebuchet MS"/>
          <w:sz w:val="24"/>
          <w:szCs w:val="24"/>
        </w:rPr>
      </w:pPr>
    </w:p>
    <w:p w:rsidR="00A63192" w:rsidRDefault="00A63192" w:rsidP="00664993">
      <w:pPr>
        <w:rPr>
          <w:rFonts w:ascii="Trebuchet MS" w:hAnsi="Trebuchet MS"/>
          <w:sz w:val="24"/>
          <w:szCs w:val="24"/>
        </w:rPr>
      </w:pPr>
    </w:p>
    <w:p w:rsidR="00721395" w:rsidRDefault="00721395" w:rsidP="00664993">
      <w:pPr>
        <w:rPr>
          <w:rFonts w:ascii="Trebuchet MS" w:hAnsi="Trebuchet MS"/>
          <w:sz w:val="24"/>
          <w:szCs w:val="24"/>
        </w:rPr>
      </w:pPr>
      <w:r>
        <w:rPr>
          <w:rFonts w:ascii="Trebuchet MS" w:hAnsi="Trebuchet MS"/>
          <w:sz w:val="24"/>
          <w:szCs w:val="24"/>
        </w:rPr>
        <w:t xml:space="preserve">Nakon što pacijent potpiše Informirane pristanke medicinska sestra/tehničar lijepi EEG elektrode, te preko istih stavlja zavoj u obliku kape kao zaštitu elektroda od spadanja. Snimanje obavlja </w:t>
      </w:r>
      <w:r w:rsidR="004553A9">
        <w:rPr>
          <w:rFonts w:ascii="Trebuchet MS" w:hAnsi="Trebuchet MS"/>
          <w:sz w:val="24"/>
          <w:szCs w:val="24"/>
        </w:rPr>
        <w:t>medicinska sestra/ tehničar u toku 24 sata, pet dana ili duže u slučaju potrebe što odredi liječnik neurolog. Za cijelo vrijeme trajanja snimanja uz uređaj i pacijenta dežura medicinska sestra/ tehničar. Pacijentu se za potrebe snimanja, odnosno provociranja napada, za što bolje uspostavljanje dijagnoze, smanjuje ili potpuno isključi terapija. Snimanje se obavlja u krevetu uz podignute zaštitne ograde</w:t>
      </w:r>
      <w:r w:rsidR="00331D07">
        <w:rPr>
          <w:rFonts w:ascii="Trebuchet MS" w:hAnsi="Trebuchet MS"/>
          <w:sz w:val="24"/>
          <w:szCs w:val="24"/>
        </w:rPr>
        <w:t xml:space="preserve">. U toalet pacijent ide uz pratnju medicinske sestre/tehničara. </w:t>
      </w:r>
    </w:p>
    <w:p w:rsidR="00331D07" w:rsidRDefault="00331D07" w:rsidP="00664993">
      <w:pPr>
        <w:rPr>
          <w:rFonts w:ascii="Trebuchet MS" w:hAnsi="Trebuchet MS"/>
          <w:sz w:val="24"/>
          <w:szCs w:val="24"/>
        </w:rPr>
      </w:pPr>
      <w:r>
        <w:rPr>
          <w:rFonts w:ascii="Trebuchet MS" w:hAnsi="Trebuchet MS"/>
          <w:sz w:val="24"/>
          <w:szCs w:val="24"/>
        </w:rPr>
        <w:t xml:space="preserve">Tijekom napada, medicinska sestra/tehničar pacijentu osigura sigurnost, sklone se potencijalni predmeti, opasni po pacijenta i otkrije pacijenta u potpunosti. Nakon toga medicinska sestra/ tehničar započinje testiranje pacijenta. </w:t>
      </w:r>
      <w:r w:rsidR="005B1DB1">
        <w:rPr>
          <w:rFonts w:ascii="Trebuchet MS" w:hAnsi="Trebuchet MS"/>
          <w:sz w:val="24"/>
          <w:szCs w:val="24"/>
        </w:rPr>
        <w:t xml:space="preserve">Pri testiranju ispituje se pacijentova orijentiranost  u vremenu i prostoru, mogućnost raspoznavanja predmeta, svjesnost, izvršavanje naredbi. Prati se i izgled kože, reakcija oba oka i zjenica, disanje, salivacija, te secesus urina i stolice. Testiranje se  vrši i po završetku napada, sve dok pacijent ne bude potpuno orijentiran. </w:t>
      </w:r>
    </w:p>
    <w:p w:rsidR="005B1DB1" w:rsidRDefault="005B1DB1" w:rsidP="00664993">
      <w:pPr>
        <w:rPr>
          <w:rFonts w:ascii="Trebuchet MS" w:hAnsi="Trebuchet MS"/>
          <w:sz w:val="24"/>
          <w:szCs w:val="24"/>
        </w:rPr>
      </w:pPr>
      <w:r>
        <w:rPr>
          <w:rFonts w:ascii="Trebuchet MS" w:hAnsi="Trebuchet MS"/>
          <w:sz w:val="24"/>
          <w:szCs w:val="24"/>
        </w:rPr>
        <w:t xml:space="preserve">Bilježi se vrijeme početka i završetka napada. Također se bilježi i svaka reakcija tijekom i nakon napada i vrijeme potpunog oporavka. Tijekom napada medicinska sestra/ tehničar dužna je osigurati pacijentu dovod kisika u slučaju potrebe, te dati intravensku </w:t>
      </w:r>
      <w:r w:rsidR="00754D4A">
        <w:rPr>
          <w:rFonts w:ascii="Trebuchet MS" w:hAnsi="Trebuchet MS"/>
          <w:sz w:val="24"/>
          <w:szCs w:val="24"/>
        </w:rPr>
        <w:t xml:space="preserve">ili intramuskularnu terapiju, po nalogu liječnika neurologa. </w:t>
      </w:r>
    </w:p>
    <w:p w:rsidR="00754D4A" w:rsidRDefault="00754D4A" w:rsidP="00664993">
      <w:pPr>
        <w:rPr>
          <w:rFonts w:ascii="Trebuchet MS" w:hAnsi="Trebuchet MS"/>
          <w:sz w:val="24"/>
          <w:szCs w:val="24"/>
        </w:rPr>
      </w:pPr>
      <w:r>
        <w:rPr>
          <w:rFonts w:ascii="Trebuchet MS" w:hAnsi="Trebuchet MS"/>
          <w:sz w:val="24"/>
          <w:szCs w:val="24"/>
        </w:rPr>
        <w:t xml:space="preserve">Prije odlaska kući, medicinska sesttra/ tehničar pacijentu skida kapu načinjenu od zavoja i elektroda, te mu u slučaju promijene terapije osigura lijekove za taj dan, odnosno dok pacijent ne dokupi što je potrebno. </w:t>
      </w:r>
    </w:p>
    <w:p w:rsidR="00754D4A" w:rsidRPr="00664993" w:rsidRDefault="00754D4A" w:rsidP="00664993">
      <w:pPr>
        <w:rPr>
          <w:rFonts w:ascii="Trebuchet MS" w:hAnsi="Trebuchet MS"/>
          <w:sz w:val="24"/>
          <w:szCs w:val="24"/>
        </w:rPr>
      </w:pPr>
      <w:r>
        <w:rPr>
          <w:rFonts w:ascii="Trebuchet MS" w:hAnsi="Trebuchet MS"/>
          <w:sz w:val="24"/>
          <w:szCs w:val="24"/>
        </w:rPr>
        <w:t xml:space="preserve">Medicinska sestra/ tehničar pacijenta po otpustu također uputi u dalje mjere opreza za narednih nekoliko dana. Nadležni liječnik neurolog dadne detaljne upute vezano za terapiju antiepilepticima osobito u slučaju korekcije ranije terapije ili ukoliko je došlo do promijene dijagnoze (npr. ukoliko je pacijent primljen na video EEG monitoriranje pod dijagnozom epilepsije, a kod otpusta je postavljena dijagnoza psihogenih ne-epileptičkih napadaja). </w:t>
      </w:r>
    </w:p>
    <w:sectPr w:rsidR="00754D4A" w:rsidRPr="00664993" w:rsidSect="00AE2BF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9CC" w:rsidRDefault="005949CC" w:rsidP="00A63192">
      <w:pPr>
        <w:spacing w:after="0" w:line="240" w:lineRule="auto"/>
      </w:pPr>
      <w:r>
        <w:separator/>
      </w:r>
    </w:p>
  </w:endnote>
  <w:endnote w:type="continuationSeparator" w:id="1">
    <w:p w:rsidR="005949CC" w:rsidRDefault="005949CC" w:rsidP="00A63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9CC" w:rsidRDefault="005949CC" w:rsidP="00A63192">
      <w:pPr>
        <w:spacing w:after="0" w:line="240" w:lineRule="auto"/>
      </w:pPr>
      <w:r>
        <w:separator/>
      </w:r>
    </w:p>
  </w:footnote>
  <w:footnote w:type="continuationSeparator" w:id="1">
    <w:p w:rsidR="005949CC" w:rsidRDefault="005949CC" w:rsidP="00A63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192" w:rsidRDefault="00A63192">
    <w:pPr>
      <w:pStyle w:val="Zaglavlje"/>
    </w:pPr>
    <w:r w:rsidRPr="00A63192">
      <w:drawing>
        <wp:inline distT="0" distB="0" distL="0" distR="0">
          <wp:extent cx="1647825" cy="673298"/>
          <wp:effectExtent l="19050" t="0" r="9525" b="0"/>
          <wp:docPr id="3" name="Picture 1" descr="C:\Users\Radiologija\Desktop\Povijest radiologije i fotke\skb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iologija\Desktop\Povijest radiologije i fotke\skb_logo.gif"/>
                  <pic:cNvPicPr>
                    <a:picLocks noChangeAspect="1" noChangeArrowheads="1"/>
                  </pic:cNvPicPr>
                </pic:nvPicPr>
                <pic:blipFill>
                  <a:blip r:embed="rId1"/>
                  <a:srcRect/>
                  <a:stretch>
                    <a:fillRect/>
                  </a:stretch>
                </pic:blipFill>
                <pic:spPr bwMode="auto">
                  <a:xfrm>
                    <a:off x="0" y="0"/>
                    <a:ext cx="1647825" cy="673298"/>
                  </a:xfrm>
                  <a:prstGeom prst="rect">
                    <a:avLst/>
                  </a:prstGeom>
                  <a:noFill/>
                  <a:ln w="9525">
                    <a:noFill/>
                    <a:miter lim="800000"/>
                    <a:headEnd/>
                    <a:tailEnd/>
                  </a:ln>
                </pic:spPr>
              </pic:pic>
            </a:graphicData>
          </a:graphic>
        </wp:inline>
      </w:drawing>
    </w:r>
    <w:r w:rsidRPr="00A63192">
      <w:rPr>
        <w:rFonts w:ascii="Trebuchet MS" w:hAnsi="Trebuchet MS"/>
        <w:sz w:val="32"/>
        <w:szCs w:val="32"/>
      </w:rPr>
      <w:t>KLINIKA ZA NEUROLOGIJU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AF4DB4"/>
    <w:multiLevelType w:val="hybridMultilevel"/>
    <w:tmpl w:val="D1E4BC78"/>
    <w:lvl w:ilvl="0" w:tplc="4ED80A62">
      <w:numFmt w:val="bullet"/>
      <w:lvlText w:val="-"/>
      <w:lvlJc w:val="left"/>
      <w:pPr>
        <w:ind w:left="720" w:hanging="360"/>
      </w:pPr>
      <w:rPr>
        <w:rFonts w:ascii="Trebuchet MS" w:eastAsiaTheme="minorHAnsi" w:hAnsi="Trebuchet M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64993"/>
    <w:rsid w:val="000C0470"/>
    <w:rsid w:val="000D5655"/>
    <w:rsid w:val="00331D07"/>
    <w:rsid w:val="004553A9"/>
    <w:rsid w:val="005949CC"/>
    <w:rsid w:val="005B0C0E"/>
    <w:rsid w:val="005B1DB1"/>
    <w:rsid w:val="00664993"/>
    <w:rsid w:val="00721395"/>
    <w:rsid w:val="00754D4A"/>
    <w:rsid w:val="007907FD"/>
    <w:rsid w:val="007C0AB6"/>
    <w:rsid w:val="00A63192"/>
    <w:rsid w:val="00AE2BF7"/>
    <w:rsid w:val="00C7782B"/>
    <w:rsid w:val="00E63EF7"/>
    <w:rsid w:val="00F752A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82B"/>
  </w:style>
  <w:style w:type="paragraph" w:styleId="Naslov1">
    <w:name w:val="heading 1"/>
    <w:basedOn w:val="Normal"/>
    <w:next w:val="Normal"/>
    <w:link w:val="Naslov1Char"/>
    <w:uiPriority w:val="9"/>
    <w:qFormat/>
    <w:rsid w:val="00C7782B"/>
    <w:pPr>
      <w:keepNext/>
      <w:keepLines/>
      <w:spacing w:before="480" w:after="0"/>
      <w:outlineLvl w:val="0"/>
    </w:pPr>
    <w:rPr>
      <w:rFonts w:asciiTheme="majorHAnsi" w:eastAsiaTheme="majorEastAsia" w:hAnsiTheme="majorHAnsi" w:cstheme="majorBidi"/>
      <w:b/>
      <w:bCs/>
      <w:color w:val="AE9638" w:themeColor="accent1" w:themeShade="BF"/>
      <w:sz w:val="28"/>
      <w:szCs w:val="28"/>
    </w:rPr>
  </w:style>
  <w:style w:type="paragraph" w:styleId="Naslov2">
    <w:name w:val="heading 2"/>
    <w:basedOn w:val="Normal"/>
    <w:next w:val="Normal"/>
    <w:link w:val="Naslov2Char"/>
    <w:uiPriority w:val="9"/>
    <w:unhideWhenUsed/>
    <w:qFormat/>
    <w:rsid w:val="00C7782B"/>
    <w:pPr>
      <w:keepNext/>
      <w:keepLines/>
      <w:spacing w:before="200" w:after="0"/>
      <w:outlineLvl w:val="1"/>
    </w:pPr>
    <w:rPr>
      <w:rFonts w:asciiTheme="majorHAnsi" w:eastAsiaTheme="majorEastAsia" w:hAnsiTheme="majorHAnsi" w:cstheme="majorBidi"/>
      <w:b/>
      <w:bCs/>
      <w:color w:val="CEB966"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7782B"/>
    <w:rPr>
      <w:rFonts w:asciiTheme="majorHAnsi" w:eastAsiaTheme="majorEastAsia" w:hAnsiTheme="majorHAnsi" w:cstheme="majorBidi"/>
      <w:b/>
      <w:bCs/>
      <w:color w:val="AE9638" w:themeColor="accent1" w:themeShade="BF"/>
      <w:sz w:val="28"/>
      <w:szCs w:val="28"/>
    </w:rPr>
  </w:style>
  <w:style w:type="character" w:customStyle="1" w:styleId="Naslov2Char">
    <w:name w:val="Naslov 2 Char"/>
    <w:basedOn w:val="Zadanifontodlomka"/>
    <w:link w:val="Naslov2"/>
    <w:uiPriority w:val="9"/>
    <w:rsid w:val="00C7782B"/>
    <w:rPr>
      <w:rFonts w:asciiTheme="majorHAnsi" w:eastAsiaTheme="majorEastAsia" w:hAnsiTheme="majorHAnsi" w:cstheme="majorBidi"/>
      <w:b/>
      <w:bCs/>
      <w:color w:val="CEB966" w:themeColor="accent1"/>
      <w:sz w:val="26"/>
      <w:szCs w:val="26"/>
    </w:rPr>
  </w:style>
  <w:style w:type="paragraph" w:styleId="Bezproreda">
    <w:name w:val="No Spacing"/>
    <w:uiPriority w:val="1"/>
    <w:qFormat/>
    <w:rsid w:val="00C7782B"/>
    <w:pPr>
      <w:spacing w:after="0" w:line="240" w:lineRule="auto"/>
    </w:pPr>
  </w:style>
  <w:style w:type="paragraph" w:styleId="Odlomakpopisa">
    <w:name w:val="List Paragraph"/>
    <w:basedOn w:val="Normal"/>
    <w:uiPriority w:val="34"/>
    <w:qFormat/>
    <w:rsid w:val="00664993"/>
    <w:pPr>
      <w:ind w:left="720"/>
      <w:contextualSpacing/>
    </w:pPr>
  </w:style>
  <w:style w:type="paragraph" w:styleId="Tekstbalonia">
    <w:name w:val="Balloon Text"/>
    <w:basedOn w:val="Normal"/>
    <w:link w:val="TekstbaloniaChar"/>
    <w:uiPriority w:val="99"/>
    <w:semiHidden/>
    <w:unhideWhenUsed/>
    <w:rsid w:val="00A63192"/>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A63192"/>
    <w:rPr>
      <w:rFonts w:ascii="Tahoma" w:hAnsi="Tahoma" w:cs="Tahoma"/>
      <w:sz w:val="16"/>
      <w:szCs w:val="16"/>
    </w:rPr>
  </w:style>
  <w:style w:type="paragraph" w:styleId="Zaglavlje">
    <w:name w:val="header"/>
    <w:basedOn w:val="Normal"/>
    <w:link w:val="ZaglavljeChar"/>
    <w:uiPriority w:val="99"/>
    <w:semiHidden/>
    <w:unhideWhenUsed/>
    <w:rsid w:val="00A63192"/>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rsid w:val="00A63192"/>
  </w:style>
  <w:style w:type="paragraph" w:styleId="Podnoje">
    <w:name w:val="footer"/>
    <w:basedOn w:val="Normal"/>
    <w:link w:val="PodnojeChar"/>
    <w:uiPriority w:val="99"/>
    <w:semiHidden/>
    <w:unhideWhenUsed/>
    <w:rsid w:val="00A63192"/>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A6319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
  <a:themeElements>
    <a:clrScheme name="Vrh">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2</Pages>
  <Words>665</Words>
  <Characters>3792</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KBC Mostar</Company>
  <LinksUpToDate>false</LinksUpToDate>
  <CharactersWithSpaces>4449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2024-08-30T11:41:00Z</dcterms:created>
  <dcterms:modified xsi:type="dcterms:W3CDTF">2024-09-03T10:29:00Z</dcterms:modified>
</cp:coreProperties>
</file>